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29F9FC" w:rsidR="004F20A5" w:rsidRDefault="004F20A5">
      <w:pPr>
        <w:jc w:val="center"/>
      </w:pPr>
    </w:p>
    <w:p w14:paraId="3F018A2C" w14:textId="7605B979" w:rsidR="00CA4C95" w:rsidRDefault="00C52DCE" w:rsidP="00CA4C95">
      <w:pPr>
        <w:spacing w:line="240" w:lineRule="auto"/>
        <w:ind w:left="720"/>
      </w:pPr>
      <w:r>
        <w:t>This policy resolution is intended to formalize a financial process</w:t>
      </w:r>
      <w:r w:rsidR="00922022">
        <w:t xml:space="preserve"> that is </w:t>
      </w:r>
      <w:r w:rsidR="00397B04">
        <w:t xml:space="preserve">currently </w:t>
      </w:r>
      <w:r w:rsidR="00922022">
        <w:t xml:space="preserve">reviewed and voted on annually by our booster organization. </w:t>
      </w:r>
      <w:r w:rsidR="00EA5211">
        <w:t xml:space="preserve">Precedent has been set for many </w:t>
      </w:r>
      <w:r w:rsidR="00194F32">
        <w:t>years and</w:t>
      </w:r>
      <w:r w:rsidR="00EA5211">
        <w:t xml:space="preserve"> </w:t>
      </w:r>
      <w:r w:rsidR="00397B04">
        <w:t xml:space="preserve">it is proposed to now take place at the beginning of the fiscal year without a vote, unless there </w:t>
      </w:r>
      <w:proofErr w:type="spellStart"/>
      <w:r w:rsidR="00397B04">
        <w:t>ar</w:t>
      </w:r>
      <w:proofErr w:type="spellEnd"/>
      <w:r w:rsidR="00397B04">
        <w:t xml:space="preserve"> extenuating circumstances, as listed below. </w:t>
      </w:r>
    </w:p>
    <w:p w14:paraId="4632C58E" w14:textId="523714F3" w:rsidR="006D03F6" w:rsidRDefault="006820A5" w:rsidP="00CA4C95">
      <w:pPr>
        <w:spacing w:line="240" w:lineRule="auto"/>
        <w:ind w:left="720"/>
      </w:pPr>
      <w:r>
        <w:t>There are four accounts</w:t>
      </w:r>
      <w:r w:rsidR="00194F32">
        <w:t xml:space="preserve"> that main booster money is captured in</w:t>
      </w:r>
      <w:r w:rsidR="00A42169">
        <w:t>:</w:t>
      </w:r>
    </w:p>
    <w:p w14:paraId="3FC76504" w14:textId="365CB4FD" w:rsidR="00A42169" w:rsidRDefault="00A42169" w:rsidP="00A42169">
      <w:pPr>
        <w:pStyle w:val="ListParagraph"/>
        <w:numPr>
          <w:ilvl w:val="0"/>
          <w:numId w:val="2"/>
        </w:numPr>
        <w:spacing w:line="240" w:lineRule="auto"/>
      </w:pPr>
      <w:r>
        <w:t xml:space="preserve">AD – money to be used for expenses </w:t>
      </w:r>
      <w:r w:rsidR="00C67764">
        <w:t>typically paid for by the athletic department</w:t>
      </w:r>
    </w:p>
    <w:p w14:paraId="531470C5" w14:textId="4CAE198C" w:rsidR="00A42169" w:rsidRDefault="00A42169" w:rsidP="00A42169">
      <w:pPr>
        <w:pStyle w:val="ListParagraph"/>
        <w:numPr>
          <w:ilvl w:val="0"/>
          <w:numId w:val="2"/>
        </w:numPr>
        <w:spacing w:line="240" w:lineRule="auto"/>
      </w:pPr>
      <w:r>
        <w:t>Primary</w:t>
      </w:r>
      <w:r w:rsidR="00C67764">
        <w:t xml:space="preserve"> – money to be used for expenses typically paid for by the booster club</w:t>
      </w:r>
    </w:p>
    <w:p w14:paraId="589512D1" w14:textId="59B6BF50" w:rsidR="00A42169" w:rsidRDefault="00A42169" w:rsidP="00A42169">
      <w:pPr>
        <w:pStyle w:val="ListParagraph"/>
        <w:numPr>
          <w:ilvl w:val="0"/>
          <w:numId w:val="2"/>
        </w:numPr>
        <w:spacing w:line="240" w:lineRule="auto"/>
      </w:pPr>
      <w:r>
        <w:t>Repairs</w:t>
      </w:r>
      <w:r w:rsidR="007127F2">
        <w:t xml:space="preserve"> – </w:t>
      </w:r>
      <w:r w:rsidR="00C67764">
        <w:t>money to be used</w:t>
      </w:r>
      <w:r w:rsidR="007127F2">
        <w:t xml:space="preserve"> for maintenance of fields, </w:t>
      </w:r>
      <w:proofErr w:type="gramStart"/>
      <w:r w:rsidR="007127F2">
        <w:t>structures</w:t>
      </w:r>
      <w:proofErr w:type="gramEnd"/>
      <w:r w:rsidR="007127F2">
        <w:t xml:space="preserve"> and equipment</w:t>
      </w:r>
    </w:p>
    <w:p w14:paraId="2CEF90C8" w14:textId="7F6C6C25" w:rsidR="00A42169" w:rsidRDefault="00A42169" w:rsidP="00606E23">
      <w:pPr>
        <w:pStyle w:val="ListParagraph"/>
        <w:numPr>
          <w:ilvl w:val="0"/>
          <w:numId w:val="2"/>
        </w:numPr>
        <w:spacing w:line="240" w:lineRule="auto"/>
      </w:pPr>
      <w:r>
        <w:t>Capital</w:t>
      </w:r>
      <w:r w:rsidR="00606E23">
        <w:t xml:space="preserve"> – purchase of equipment, upgrades to fields, </w:t>
      </w:r>
      <w:proofErr w:type="gramStart"/>
      <w:r w:rsidR="00606E23">
        <w:t>structures</w:t>
      </w:r>
      <w:proofErr w:type="gramEnd"/>
      <w:r w:rsidR="00606E23">
        <w:t xml:space="preserve"> and equipment, especially when funding is shared with one or more teams</w:t>
      </w:r>
    </w:p>
    <w:p w14:paraId="7D7DC4A5" w14:textId="03DF1108" w:rsidR="00606E23" w:rsidRDefault="00606E23" w:rsidP="00606E23">
      <w:pPr>
        <w:spacing w:line="240" w:lineRule="auto"/>
        <w:ind w:left="720"/>
      </w:pPr>
      <w:r>
        <w:t xml:space="preserve">The AD, Primary and Repair funds are reset to a certain dollar amount each year, that falls within a range. This is done annually as AD and Primary accounts capture deposits of donations and </w:t>
      </w:r>
      <w:r w:rsidR="000A7FAE">
        <w:t xml:space="preserve">revenue (sports passes, advertising, reverse raffle games, </w:t>
      </w:r>
      <w:proofErr w:type="spellStart"/>
      <w:r w:rsidR="000A7FAE">
        <w:t>etc</w:t>
      </w:r>
      <w:proofErr w:type="spellEnd"/>
      <w:r w:rsidR="000A7FAE">
        <w:t xml:space="preserve">) </w:t>
      </w:r>
      <w:r>
        <w:t xml:space="preserve">throughout the year, and typically end up with more </w:t>
      </w:r>
      <w:r w:rsidR="000A7FAE">
        <w:t>that the maximum amount allowed by the range. The ranges are as follows:</w:t>
      </w:r>
    </w:p>
    <w:tbl>
      <w:tblPr>
        <w:tblStyle w:val="PlainTable3"/>
        <w:tblW w:w="5536" w:type="dxa"/>
        <w:tblInd w:w="612" w:type="dxa"/>
        <w:tblLook w:val="04A0" w:firstRow="1" w:lastRow="0" w:firstColumn="1" w:lastColumn="0" w:noHBand="0" w:noVBand="1"/>
      </w:tblPr>
      <w:tblGrid>
        <w:gridCol w:w="1740"/>
        <w:gridCol w:w="2276"/>
        <w:gridCol w:w="1520"/>
      </w:tblGrid>
      <w:tr w:rsidR="000A7FAE" w:rsidRPr="000A7FAE" w14:paraId="7D83D990" w14:textId="77777777" w:rsidTr="000A7FA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0" w:type="dxa"/>
            <w:noWrap/>
            <w:hideMark/>
          </w:tcPr>
          <w:p w14:paraId="3CEC0E0B" w14:textId="77777777" w:rsidR="000A7FAE" w:rsidRPr="000A7FAE" w:rsidRDefault="000A7FAE" w:rsidP="000A7FAE">
            <w:pPr>
              <w:jc w:val="right"/>
              <w:rPr>
                <w:rFonts w:eastAsia="Times New Roman"/>
                <w:color w:val="000000"/>
              </w:rPr>
            </w:pPr>
            <w:r w:rsidRPr="000A7FAE">
              <w:rPr>
                <w:rFonts w:eastAsia="Times New Roman"/>
                <w:color w:val="000000"/>
              </w:rPr>
              <w:t>Maintain Fund Ranges:</w:t>
            </w:r>
          </w:p>
        </w:tc>
        <w:tc>
          <w:tcPr>
            <w:tcW w:w="2276" w:type="dxa"/>
            <w:noWrap/>
            <w:hideMark/>
          </w:tcPr>
          <w:p w14:paraId="26032CE1" w14:textId="77777777" w:rsidR="000A7FAE" w:rsidRPr="000A7FAE" w:rsidRDefault="000A7FAE" w:rsidP="000A7FA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A7FAE">
              <w:rPr>
                <w:rFonts w:eastAsia="Times New Roman"/>
                <w:color w:val="000000"/>
              </w:rPr>
              <w:t>Min</w:t>
            </w:r>
          </w:p>
        </w:tc>
        <w:tc>
          <w:tcPr>
            <w:tcW w:w="1520" w:type="dxa"/>
            <w:noWrap/>
            <w:hideMark/>
          </w:tcPr>
          <w:p w14:paraId="65515DAE" w14:textId="77777777" w:rsidR="000A7FAE" w:rsidRPr="000A7FAE" w:rsidRDefault="000A7FAE" w:rsidP="000A7FA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A7FAE">
              <w:rPr>
                <w:rFonts w:eastAsia="Times New Roman"/>
                <w:color w:val="000000"/>
              </w:rPr>
              <w:t>Max</w:t>
            </w:r>
          </w:p>
        </w:tc>
      </w:tr>
      <w:tr w:rsidR="000A7FAE" w:rsidRPr="000A7FAE" w14:paraId="46CA0899" w14:textId="77777777" w:rsidTr="000A7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63E6518" w14:textId="77777777" w:rsidR="000A7FAE" w:rsidRPr="000A7FAE" w:rsidRDefault="000A7FAE" w:rsidP="000A7FAE">
            <w:pPr>
              <w:rPr>
                <w:rFonts w:eastAsia="Times New Roman"/>
                <w:color w:val="000000"/>
              </w:rPr>
            </w:pPr>
            <w:r w:rsidRPr="000A7FAE">
              <w:rPr>
                <w:rFonts w:eastAsia="Times New Roman"/>
                <w:color w:val="000000"/>
              </w:rPr>
              <w:t>AD</w:t>
            </w:r>
          </w:p>
        </w:tc>
        <w:tc>
          <w:tcPr>
            <w:tcW w:w="2276" w:type="dxa"/>
            <w:noWrap/>
            <w:hideMark/>
          </w:tcPr>
          <w:p w14:paraId="73FD71F6" w14:textId="6E6DF0A5" w:rsidR="000A7FAE" w:rsidRPr="000A7FAE" w:rsidRDefault="000A7FAE" w:rsidP="000A7F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A7FAE">
              <w:rPr>
                <w:rFonts w:eastAsia="Times New Roman"/>
                <w:color w:val="000000"/>
              </w:rPr>
              <w:t xml:space="preserve"> $12,000.00 </w:t>
            </w:r>
          </w:p>
        </w:tc>
        <w:tc>
          <w:tcPr>
            <w:tcW w:w="1520" w:type="dxa"/>
            <w:noWrap/>
            <w:hideMark/>
          </w:tcPr>
          <w:p w14:paraId="612AECC4" w14:textId="032C5E96" w:rsidR="000A7FAE" w:rsidRPr="000A7FAE" w:rsidRDefault="000A7FAE" w:rsidP="000A7F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A7FAE">
              <w:rPr>
                <w:rFonts w:eastAsia="Times New Roman"/>
                <w:color w:val="000000"/>
              </w:rPr>
              <w:t xml:space="preserve"> $ 15,000.00 </w:t>
            </w:r>
          </w:p>
        </w:tc>
      </w:tr>
      <w:tr w:rsidR="000A7FAE" w:rsidRPr="000A7FAE" w14:paraId="29CA3887" w14:textId="77777777" w:rsidTr="000A7FAE">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FB8B6EA" w14:textId="77777777" w:rsidR="000A7FAE" w:rsidRPr="000A7FAE" w:rsidRDefault="000A7FAE" w:rsidP="000A7FAE">
            <w:pPr>
              <w:rPr>
                <w:rFonts w:eastAsia="Times New Roman"/>
                <w:color w:val="000000"/>
              </w:rPr>
            </w:pPr>
            <w:r w:rsidRPr="000A7FAE">
              <w:rPr>
                <w:rFonts w:eastAsia="Times New Roman"/>
                <w:color w:val="000000"/>
              </w:rPr>
              <w:t>Primary</w:t>
            </w:r>
          </w:p>
        </w:tc>
        <w:tc>
          <w:tcPr>
            <w:tcW w:w="2276" w:type="dxa"/>
            <w:noWrap/>
            <w:hideMark/>
          </w:tcPr>
          <w:p w14:paraId="586E61BC" w14:textId="0AB5E1FB" w:rsidR="000A7FAE" w:rsidRPr="000A7FAE" w:rsidRDefault="000A7FAE" w:rsidP="000A7F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A7FAE">
              <w:rPr>
                <w:rFonts w:eastAsia="Times New Roman"/>
                <w:color w:val="000000"/>
              </w:rPr>
              <w:t xml:space="preserve"> $10,000.00 </w:t>
            </w:r>
          </w:p>
        </w:tc>
        <w:tc>
          <w:tcPr>
            <w:tcW w:w="1520" w:type="dxa"/>
            <w:noWrap/>
            <w:hideMark/>
          </w:tcPr>
          <w:p w14:paraId="5F06FAA3" w14:textId="58356427" w:rsidR="000A7FAE" w:rsidRPr="000A7FAE" w:rsidRDefault="000A7FAE" w:rsidP="000A7F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A7FAE">
              <w:rPr>
                <w:rFonts w:eastAsia="Times New Roman"/>
                <w:color w:val="000000"/>
              </w:rPr>
              <w:t xml:space="preserve"> $12,000.00 </w:t>
            </w:r>
          </w:p>
        </w:tc>
      </w:tr>
      <w:tr w:rsidR="000A7FAE" w:rsidRPr="000A7FAE" w14:paraId="0F3C1B7D" w14:textId="77777777" w:rsidTr="000A7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DE74971" w14:textId="77777777" w:rsidR="000A7FAE" w:rsidRPr="000A7FAE" w:rsidRDefault="000A7FAE" w:rsidP="000A7FAE">
            <w:pPr>
              <w:rPr>
                <w:rFonts w:eastAsia="Times New Roman"/>
                <w:color w:val="000000"/>
              </w:rPr>
            </w:pPr>
            <w:r w:rsidRPr="000A7FAE">
              <w:rPr>
                <w:rFonts w:eastAsia="Times New Roman"/>
                <w:color w:val="000000"/>
              </w:rPr>
              <w:t>Repairs</w:t>
            </w:r>
          </w:p>
        </w:tc>
        <w:tc>
          <w:tcPr>
            <w:tcW w:w="2276" w:type="dxa"/>
            <w:noWrap/>
            <w:hideMark/>
          </w:tcPr>
          <w:p w14:paraId="42703E09" w14:textId="7EAB0D5B" w:rsidR="000A7FAE" w:rsidRPr="000A7FAE" w:rsidRDefault="000A7FAE" w:rsidP="000A7F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A7FAE">
              <w:rPr>
                <w:rFonts w:eastAsia="Times New Roman"/>
                <w:color w:val="000000"/>
              </w:rPr>
              <w:t xml:space="preserve"> $ 15,000.00 </w:t>
            </w:r>
          </w:p>
        </w:tc>
        <w:tc>
          <w:tcPr>
            <w:tcW w:w="1520" w:type="dxa"/>
            <w:noWrap/>
            <w:hideMark/>
          </w:tcPr>
          <w:p w14:paraId="552533AB" w14:textId="135006D6" w:rsidR="000A7FAE" w:rsidRPr="000A7FAE" w:rsidRDefault="000A7FAE" w:rsidP="000A7F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A7FAE">
              <w:rPr>
                <w:rFonts w:eastAsia="Times New Roman"/>
                <w:color w:val="000000"/>
              </w:rPr>
              <w:t xml:space="preserve"> $ 18,000.00 </w:t>
            </w:r>
          </w:p>
        </w:tc>
      </w:tr>
    </w:tbl>
    <w:p w14:paraId="58A399F3" w14:textId="77777777" w:rsidR="004657B0" w:rsidRDefault="004657B0" w:rsidP="00606E23">
      <w:pPr>
        <w:spacing w:line="240" w:lineRule="auto"/>
        <w:ind w:left="720"/>
      </w:pPr>
    </w:p>
    <w:p w14:paraId="300F10E1" w14:textId="1AC0A534" w:rsidR="004657B0" w:rsidRDefault="004657B0" w:rsidP="00606E23">
      <w:pPr>
        <w:spacing w:line="240" w:lineRule="auto"/>
        <w:ind w:left="720"/>
      </w:pPr>
      <w:r>
        <w:t xml:space="preserve">With this resolution, the boosters elect to create a dedicated </w:t>
      </w:r>
      <w:r w:rsidR="00E87BCA">
        <w:t>S</w:t>
      </w:r>
      <w:r>
        <w:t xml:space="preserve">cholarship fund that will contain $5,000 </w:t>
      </w:r>
      <w:r w:rsidR="00E87BCA">
        <w:t xml:space="preserve">that must be </w:t>
      </w:r>
      <w:r>
        <w:t>dis</w:t>
      </w:r>
      <w:r w:rsidR="00E87BCA">
        <w:t xml:space="preserve">tributed </w:t>
      </w:r>
      <w:r>
        <w:t>each year in the Spring, at the discretion of the Scholarship committee.</w:t>
      </w:r>
    </w:p>
    <w:p w14:paraId="566F4B7C" w14:textId="77777777" w:rsidR="00E87BCA" w:rsidRDefault="00316AE6" w:rsidP="00606E23">
      <w:pPr>
        <w:spacing w:line="240" w:lineRule="auto"/>
        <w:ind w:left="720"/>
      </w:pPr>
      <w:r>
        <w:t xml:space="preserve">If balances at the end of the fiscal in </w:t>
      </w:r>
      <w:r w:rsidR="000A7FAE">
        <w:t xml:space="preserve">these accounts </w:t>
      </w:r>
      <w:r>
        <w:t>exceed</w:t>
      </w:r>
      <w:r w:rsidR="000A7FAE">
        <w:t xml:space="preserve"> the maximum </w:t>
      </w:r>
      <w:r>
        <w:t xml:space="preserve">of the range, those leftover funds </w:t>
      </w:r>
      <w:r w:rsidR="000A7FAE">
        <w:t xml:space="preserve">are then pooled and split between </w:t>
      </w:r>
      <w:r w:rsidR="004657B0">
        <w:t xml:space="preserve">Scholarship at a flat $5,000, </w:t>
      </w:r>
      <w:r w:rsidR="000A7FAE">
        <w:t>Repairs</w:t>
      </w:r>
      <w:r>
        <w:t xml:space="preserve"> (40% of the total overage</w:t>
      </w:r>
      <w:r w:rsidR="004657B0">
        <w:t xml:space="preserve"> remaining after Scholarship funding</w:t>
      </w:r>
      <w:r>
        <w:t>) and Capital (60% of the total</w:t>
      </w:r>
      <w:r w:rsidR="004657B0">
        <w:t xml:space="preserve"> overage remaining after Scholarship funding</w:t>
      </w:r>
      <w:r>
        <w:t xml:space="preserve">). </w:t>
      </w:r>
    </w:p>
    <w:p w14:paraId="167ECF22" w14:textId="54A95D4D" w:rsidR="000A7FAE" w:rsidRDefault="00316AE6" w:rsidP="00606E23">
      <w:pPr>
        <w:spacing w:line="240" w:lineRule="auto"/>
        <w:ind w:left="720"/>
      </w:pPr>
      <w:r w:rsidRPr="00316AE6">
        <w:t xml:space="preserve">In years </w:t>
      </w:r>
      <w:r>
        <w:t>that</w:t>
      </w:r>
      <w:r w:rsidRPr="00316AE6">
        <w:t xml:space="preserve"> amounts do not exceed the maximum</w:t>
      </w:r>
      <w:r w:rsidR="004657B0">
        <w:t xml:space="preserve"> dollar amount of the account ranges</w:t>
      </w:r>
      <w:r w:rsidRPr="00316AE6">
        <w:t xml:space="preserve">, </w:t>
      </w:r>
      <w:r>
        <w:t xml:space="preserve">any </w:t>
      </w:r>
      <w:r w:rsidRPr="00316AE6">
        <w:t xml:space="preserve">amounts over the </w:t>
      </w:r>
      <w:r>
        <w:t xml:space="preserve">range </w:t>
      </w:r>
      <w:r w:rsidRPr="00316AE6">
        <w:t xml:space="preserve">minimums </w:t>
      </w:r>
      <w:r w:rsidR="00E87BCA">
        <w:t xml:space="preserve">will be first applied to fund Scholarships ($5,000) and the rest, if any, </w:t>
      </w:r>
      <w:r>
        <w:t>are added to</w:t>
      </w:r>
      <w:r w:rsidRPr="00316AE6">
        <w:t xml:space="preserve"> the repair fund, but </w:t>
      </w:r>
      <w:r w:rsidR="00E87BCA">
        <w:t>should</w:t>
      </w:r>
      <w:r w:rsidRPr="00316AE6">
        <w:t xml:space="preserve"> not exceed </w:t>
      </w:r>
      <w:r w:rsidR="00E87BCA">
        <w:t xml:space="preserve">upper end of the </w:t>
      </w:r>
      <w:r w:rsidRPr="00316AE6">
        <w:t xml:space="preserve">repair fund </w:t>
      </w:r>
      <w:r w:rsidR="00E87BCA">
        <w:t>range.</w:t>
      </w:r>
      <w:r w:rsidRPr="00316AE6">
        <w:t xml:space="preserve"> </w:t>
      </w:r>
      <w:r w:rsidR="00E87BCA">
        <w:t>In this instance no monies are to be</w:t>
      </w:r>
      <w:r w:rsidRPr="00316AE6">
        <w:t xml:space="preserve"> share</w:t>
      </w:r>
      <w:r w:rsidR="00E87BCA">
        <w:t>d</w:t>
      </w:r>
      <w:r w:rsidRPr="00316AE6">
        <w:t xml:space="preserve"> with </w:t>
      </w:r>
      <w:r w:rsidR="00E87BCA">
        <w:t xml:space="preserve">the </w:t>
      </w:r>
      <w:r w:rsidRPr="00316AE6">
        <w:t>Capital Fund</w:t>
      </w:r>
      <w:r>
        <w:t xml:space="preserve"> unless the</w:t>
      </w:r>
      <w:r w:rsidR="004657B0">
        <w:t xml:space="preserve"> amount in the repair fund exceeds the maximum </w:t>
      </w:r>
      <w:r w:rsidR="00E87BCA">
        <w:t>end of the allowable range for the account</w:t>
      </w:r>
      <w:r w:rsidR="004657B0">
        <w:t xml:space="preserve">. </w:t>
      </w:r>
    </w:p>
    <w:p w14:paraId="006D470A" w14:textId="68F2286D" w:rsidR="00397B04" w:rsidRDefault="00397B04" w:rsidP="00606E23">
      <w:pPr>
        <w:spacing w:line="240" w:lineRule="auto"/>
        <w:ind w:left="720"/>
      </w:pPr>
      <w:r w:rsidRPr="00397B04">
        <w:rPr>
          <w:b/>
          <w:bCs/>
        </w:rPr>
        <w:t>Outcome:</w:t>
      </w:r>
      <w:r>
        <w:t xml:space="preserve"> At the May 2022 meeting of the Primary Athletic Booster Club, it was voted </w:t>
      </w:r>
      <w:r w:rsidR="008D1B3F">
        <w:t xml:space="preserve">unanimously </w:t>
      </w:r>
      <w:r>
        <w:t xml:space="preserve">to pass this resolution and create a policy. The fund reset will occur </w:t>
      </w:r>
      <w:r w:rsidR="008D1B3F">
        <w:t>annually at the beginning of the fiscal year to include a separate account for a scholarship fund. Unless there are circumstances beyond the scope of this policy, the reset will no longer require an annual vote. The scholarship committee may still request additional funding from the capital committee if there is a need.</w:t>
      </w:r>
    </w:p>
    <w:sectPr w:rsidR="00397B04">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9F14" w14:textId="77777777" w:rsidR="00891F61" w:rsidRDefault="00891F61" w:rsidP="00A0170F">
      <w:pPr>
        <w:spacing w:after="0" w:line="240" w:lineRule="auto"/>
      </w:pPr>
      <w:r>
        <w:separator/>
      </w:r>
    </w:p>
  </w:endnote>
  <w:endnote w:type="continuationSeparator" w:id="0">
    <w:p w14:paraId="409B3ED2" w14:textId="77777777" w:rsidR="00891F61" w:rsidRDefault="00891F61" w:rsidP="00A0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4F2" w14:textId="24E9499C" w:rsidR="008D1B3F" w:rsidRDefault="009B0AA3" w:rsidP="009B0AA3">
    <w:pPr>
      <w:pStyle w:val="Footer"/>
      <w:tabs>
        <w:tab w:val="clear" w:pos="9360"/>
        <w:tab w:val="right" w:pos="10800"/>
      </w:tabs>
    </w:pPr>
    <w:r>
      <w:t>Version: 1.0</w:t>
    </w:r>
    <w:r>
      <w:tab/>
    </w:r>
    <w:r>
      <w:tab/>
      <w:t>Version Date: 05/18/2022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B105" w14:textId="77777777" w:rsidR="00891F61" w:rsidRDefault="00891F61" w:rsidP="00A0170F">
      <w:pPr>
        <w:spacing w:after="0" w:line="240" w:lineRule="auto"/>
      </w:pPr>
      <w:r>
        <w:separator/>
      </w:r>
    </w:p>
  </w:footnote>
  <w:footnote w:type="continuationSeparator" w:id="0">
    <w:p w14:paraId="753F1A8E" w14:textId="77777777" w:rsidR="00891F61" w:rsidRDefault="00891F61" w:rsidP="00A0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6C0" w14:textId="3665A611" w:rsidR="00A0170F" w:rsidRDefault="00A0170F">
    <w:pPr>
      <w:pStyle w:val="Header"/>
    </w:pPr>
  </w:p>
  <w:p w14:paraId="74A0AD91" w14:textId="22D3A990" w:rsidR="00A0170F" w:rsidRDefault="00A0170F">
    <w:pPr>
      <w:pStyle w:val="Header"/>
    </w:pPr>
    <w:r>
      <w:rPr>
        <w:noProof/>
      </w:rPr>
      <mc:AlternateContent>
        <mc:Choice Requires="wps">
          <w:drawing>
            <wp:anchor distT="0" distB="0" distL="114300" distR="114300" simplePos="0" relativeHeight="251659264" behindDoc="0" locked="0" layoutInCell="1" allowOverlap="1" wp14:anchorId="2D1CB99A" wp14:editId="36A8DFB5">
              <wp:simplePos x="0" y="0"/>
              <wp:positionH relativeFrom="column">
                <wp:posOffset>1165648</wp:posOffset>
              </wp:positionH>
              <wp:positionV relativeFrom="paragraph">
                <wp:posOffset>226695</wp:posOffset>
              </wp:positionV>
              <wp:extent cx="5562176" cy="812800"/>
              <wp:effectExtent l="50800" t="25400" r="51435" b="63500"/>
              <wp:wrapNone/>
              <wp:docPr id="2" name="Rectangle 2"/>
              <wp:cNvGraphicFramePr/>
              <a:graphic xmlns:a="http://schemas.openxmlformats.org/drawingml/2006/main">
                <a:graphicData uri="http://schemas.microsoft.com/office/word/2010/wordprocessingShape">
                  <wps:wsp>
                    <wps:cNvSpPr/>
                    <wps:spPr>
                      <a:xfrm>
                        <a:off x="0" y="0"/>
                        <a:ext cx="5562176" cy="812800"/>
                      </a:xfrm>
                      <a:prstGeom prst="rect">
                        <a:avLst/>
                      </a:prstGeom>
                      <a:gradFill flip="none" rotWithShape="1">
                        <a:gsLst>
                          <a:gs pos="0">
                            <a:srgbClr val="027704"/>
                          </a:gs>
                          <a:gs pos="94000">
                            <a:schemeClr val="bg1"/>
                          </a:gs>
                          <a:gs pos="57000">
                            <a:srgbClr val="008F00"/>
                          </a:gs>
                        </a:gsLst>
                        <a:lin ang="0" scaled="1"/>
                        <a:tileRect/>
                      </a:gradFill>
                      <a:ln>
                        <a:noFill/>
                      </a:ln>
                    </wps:spPr>
                    <wps:style>
                      <a:lnRef idx="1">
                        <a:schemeClr val="accent1"/>
                      </a:lnRef>
                      <a:fillRef idx="3">
                        <a:schemeClr val="accent1"/>
                      </a:fillRef>
                      <a:effectRef idx="2">
                        <a:schemeClr val="accent1"/>
                      </a:effectRef>
                      <a:fontRef idx="minor">
                        <a:schemeClr val="lt1"/>
                      </a:fontRef>
                    </wps:style>
                    <wps:txbx>
                      <w:txbxContent>
                        <w:p w14:paraId="4DE212F7" w14:textId="7AD5E856" w:rsidR="00A0170F" w:rsidRPr="00A0170F" w:rsidRDefault="00A0170F" w:rsidP="00A0170F">
                          <w:pPr>
                            <w:ind w:left="180"/>
                            <w:rPr>
                              <w:sz w:val="28"/>
                              <w:szCs w:val="28"/>
                            </w:rPr>
                          </w:pPr>
                          <w:r w:rsidRPr="00A0170F">
                            <w:rPr>
                              <w:sz w:val="28"/>
                              <w:szCs w:val="28"/>
                            </w:rPr>
                            <w:t>Southwest Guilford High School Athletic Boosters</w:t>
                          </w:r>
                          <w:r w:rsidRPr="00A0170F">
                            <w:rPr>
                              <w:sz w:val="28"/>
                              <w:szCs w:val="28"/>
                            </w:rPr>
                            <w:br/>
                          </w:r>
                          <w:r w:rsidR="00D51EE0">
                            <w:rPr>
                              <w:sz w:val="28"/>
                              <w:szCs w:val="28"/>
                            </w:rPr>
                            <w:t xml:space="preserve">Policy </w:t>
                          </w:r>
                          <w:r w:rsidR="007025CA">
                            <w:rPr>
                              <w:sz w:val="28"/>
                              <w:szCs w:val="28"/>
                            </w:rPr>
                            <w:t>Resolution</w:t>
                          </w:r>
                          <w:r w:rsidR="006D03F6">
                            <w:rPr>
                              <w:sz w:val="28"/>
                              <w:szCs w:val="28"/>
                            </w:rPr>
                            <w:t xml:space="preserve"> – </w:t>
                          </w:r>
                          <w:r w:rsidR="00CF5955">
                            <w:rPr>
                              <w:sz w:val="28"/>
                              <w:szCs w:val="28"/>
                            </w:rPr>
                            <w:t xml:space="preserve">Annual Fund Reset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D1CB99A" id="Rectangle 2" o:spid="_x0000_s1026" style="position:absolute;margin-left:91.8pt;margin-top:17.85pt;width:437.95pt;height: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" fillcolor="#027704" stroked="f">
              <v:fill color2="white [3212]" rotate="t" angle="90" colors="0 #027704;37356f #008f00;61604f white" focus="100%" type="gradient"/>
              <v:shadow on="t" color="black" opacity="22937f" origin=",.5" offset="0,.63889mm"/>
              <v:textbox>
                <w:txbxContent>
                  <w:p w14:paraId="4DE212F7" w14:textId="7AD5E856" w:rsidR="00A0170F" w:rsidRPr="00A0170F" w:rsidRDefault="00A0170F" w:rsidP="00A0170F">
                    <w:pPr>
                      <w:ind w:left="180"/>
                      <w:rPr>
                        <w:sz w:val="28"/>
                        <w:szCs w:val="28"/>
                      </w:rPr>
                    </w:pPr>
                    <w:r w:rsidRPr="00A0170F">
                      <w:rPr>
                        <w:sz w:val="28"/>
                        <w:szCs w:val="28"/>
                      </w:rPr>
                      <w:t>Southwest Guilford High School Athletic Boosters</w:t>
                    </w:r>
                    <w:r w:rsidRPr="00A0170F">
                      <w:rPr>
                        <w:sz w:val="28"/>
                        <w:szCs w:val="28"/>
                      </w:rPr>
                      <w:br/>
                    </w:r>
                    <w:r w:rsidR="00D51EE0">
                      <w:rPr>
                        <w:sz w:val="28"/>
                        <w:szCs w:val="28"/>
                      </w:rPr>
                      <w:t xml:space="preserve">Policy </w:t>
                    </w:r>
                    <w:r w:rsidR="007025CA">
                      <w:rPr>
                        <w:sz w:val="28"/>
                        <w:szCs w:val="28"/>
                      </w:rPr>
                      <w:t>Resolution</w:t>
                    </w:r>
                    <w:r w:rsidR="006D03F6">
                      <w:rPr>
                        <w:sz w:val="28"/>
                        <w:szCs w:val="28"/>
                      </w:rPr>
                      <w:t xml:space="preserve"> – </w:t>
                    </w:r>
                    <w:r w:rsidR="00CF5955">
                      <w:rPr>
                        <w:sz w:val="28"/>
                        <w:szCs w:val="28"/>
                      </w:rPr>
                      <w:t xml:space="preserve">Annual Fund Reset </w:t>
                    </w:r>
                  </w:p>
                </w:txbxContent>
              </v:textbox>
            </v:rect>
          </w:pict>
        </mc:Fallback>
      </mc:AlternateContent>
    </w:r>
    <w:r>
      <w:rPr>
        <w:noProof/>
      </w:rPr>
      <w:drawing>
        <wp:inline distT="114300" distB="114300" distL="114300" distR="114300" wp14:anchorId="286C883B" wp14:editId="75073542">
          <wp:extent cx="1166813" cy="1166813"/>
          <wp:effectExtent l="0" t="0" r="1905" b="0"/>
          <wp:docPr id="1" name="image1.gif"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gif" descr="Logo&#10;&#10;Description automatically generated"/>
                  <pic:cNvPicPr preferRelativeResize="0"/>
                </pic:nvPicPr>
                <pic:blipFill>
                  <a:blip r:embed="rId1"/>
                  <a:srcRect/>
                  <a:stretch>
                    <a:fillRect/>
                  </a:stretch>
                </pic:blipFill>
                <pic:spPr>
                  <a:xfrm>
                    <a:off x="0" y="0"/>
                    <a:ext cx="1166813" cy="1166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144"/>
    <w:multiLevelType w:val="hybridMultilevel"/>
    <w:tmpl w:val="C9A2C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CC447B"/>
    <w:multiLevelType w:val="hybridMultilevel"/>
    <w:tmpl w:val="4308E38A"/>
    <w:lvl w:ilvl="0" w:tplc="1644A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131285">
    <w:abstractNumId w:val="1"/>
  </w:num>
  <w:num w:numId="2" w16cid:durableId="172209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A5"/>
    <w:rsid w:val="000A7FAE"/>
    <w:rsid w:val="000B0B88"/>
    <w:rsid w:val="00194F32"/>
    <w:rsid w:val="00316AE6"/>
    <w:rsid w:val="00397B04"/>
    <w:rsid w:val="004548CC"/>
    <w:rsid w:val="004657B0"/>
    <w:rsid w:val="004F20A5"/>
    <w:rsid w:val="00606E23"/>
    <w:rsid w:val="006820A5"/>
    <w:rsid w:val="006D03F6"/>
    <w:rsid w:val="007025CA"/>
    <w:rsid w:val="007127F2"/>
    <w:rsid w:val="00891F61"/>
    <w:rsid w:val="008D1B3F"/>
    <w:rsid w:val="00922022"/>
    <w:rsid w:val="00957EAB"/>
    <w:rsid w:val="009B0AA3"/>
    <w:rsid w:val="00A0170F"/>
    <w:rsid w:val="00A22B86"/>
    <w:rsid w:val="00A42169"/>
    <w:rsid w:val="00B362E4"/>
    <w:rsid w:val="00C52DCE"/>
    <w:rsid w:val="00C67764"/>
    <w:rsid w:val="00CA4C95"/>
    <w:rsid w:val="00CF5955"/>
    <w:rsid w:val="00D51EE0"/>
    <w:rsid w:val="00E87BCA"/>
    <w:rsid w:val="00EA5211"/>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2AFA"/>
  <w15:docId w15:val="{2FC086F9-AF8B-B149-9E6C-E349FF4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0F"/>
  </w:style>
  <w:style w:type="paragraph" w:styleId="Footer">
    <w:name w:val="footer"/>
    <w:basedOn w:val="Normal"/>
    <w:link w:val="FooterChar"/>
    <w:uiPriority w:val="99"/>
    <w:unhideWhenUsed/>
    <w:rsid w:val="00A0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0F"/>
  </w:style>
  <w:style w:type="paragraph" w:styleId="ListParagraph">
    <w:name w:val="List Paragraph"/>
    <w:basedOn w:val="Normal"/>
    <w:uiPriority w:val="34"/>
    <w:qFormat/>
    <w:rsid w:val="007025CA"/>
    <w:pPr>
      <w:ind w:left="720"/>
      <w:contextualSpacing/>
    </w:pPr>
  </w:style>
  <w:style w:type="table" w:styleId="PlainTable3">
    <w:name w:val="Plain Table 3"/>
    <w:basedOn w:val="TableNormal"/>
    <w:uiPriority w:val="43"/>
    <w:rsid w:val="000A7F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L Murray</cp:lastModifiedBy>
  <cp:revision>4</cp:revision>
  <dcterms:created xsi:type="dcterms:W3CDTF">2022-05-17T02:48:00Z</dcterms:created>
  <dcterms:modified xsi:type="dcterms:W3CDTF">2022-05-18T15:26:00Z</dcterms:modified>
</cp:coreProperties>
</file>